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Стратегическая система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«Стратегическая система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«Стратегическая система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«Стратегическая система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адаптировать теорию и практику риск-менеджмента к условиям конкретной фирмы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обрабатывать информацию по рискам и организовывать управление рисками с учетом фирменной и отраслевой специфики и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создания корпоративной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«Стратегическая система управления рисками»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 Создание,  реализация и поддержка страховых программ"</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p>
            <w:pPr>
              <w:jc w:val="center"/>
              <w:spacing w:after="0" w:line="240" w:lineRule="auto"/>
              <w:rPr>
                <w:sz w:val="22"/>
                <w:szCs w:val="22"/>
              </w:rPr>
            </w:pPr>
            <w:r>
              <w:rPr>
                <w:rFonts w:ascii="Times New Roman" w:hAnsi="Times New Roman" w:cs="Times New Roman"/>
                <w:color w:val="#000000"/>
                <w:sz w:val="22"/>
                <w:szCs w:val="22"/>
              </w:rPr>
              <w:t>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Правовые основы риск-менеджмента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риск-менеджмент</w:t>
            </w:r>
          </w:p>
          <w:p>
            <w:pPr>
              <w:jc w:val="center"/>
              <w:spacing w:after="0" w:line="240" w:lineRule="auto"/>
              <w:rPr>
                <w:sz w:val="22"/>
                <w:szCs w:val="22"/>
              </w:rPr>
            </w:pPr>
            <w:r>
              <w:rPr>
                <w:rFonts w:ascii="Times New Roman" w:hAnsi="Times New Roman" w:cs="Times New Roman"/>
                <w:color w:val="#000000"/>
                <w:sz w:val="22"/>
                <w:szCs w:val="22"/>
              </w:rPr>
              <w:t> Концепции и модели риск-менеджмента</w:t>
            </w:r>
          </w:p>
          <w:p>
            <w:pPr>
              <w:jc w:val="center"/>
              <w:spacing w:after="0" w:line="240" w:lineRule="auto"/>
              <w:rPr>
                <w:sz w:val="22"/>
                <w:szCs w:val="22"/>
              </w:rPr>
            </w:pPr>
            <w:r>
              <w:rPr>
                <w:rFonts w:ascii="Times New Roman" w:hAnsi="Times New Roman" w:cs="Times New Roman"/>
                <w:color w:val="#000000"/>
                <w:sz w:val="22"/>
                <w:szCs w:val="22"/>
              </w:rPr>
              <w:t> Корпоративные системы риск-менеджмента</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"Разработка и управление интеграционной системой управления рисками"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риска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факторов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Программа управления рисками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рисками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2:Классификация факторов риска промышленных</w:t>
            </w:r>
          </w:p>
          <w:p>
            <w:pPr>
              <w:jc w:val="left"/>
              <w:spacing w:after="0" w:line="240" w:lineRule="auto"/>
              <w:rPr>
                <w:sz w:val="24"/>
                <w:szCs w:val="24"/>
              </w:rPr>
            </w:pPr>
            <w:r>
              <w:rPr>
                <w:rFonts w:ascii="Times New Roman" w:hAnsi="Times New Roman" w:cs="Times New Roman"/>
                <w:color w:val="#000000"/>
                <w:sz w:val="24"/>
                <w:szCs w:val="24"/>
              </w:rPr>
              <w:t>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3:Этапы разработки программы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стол:Оценка эффективности текущего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4:Система управления рисками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5:Классификация факторов риска промышленных</w:t>
            </w:r>
          </w:p>
          <w:p>
            <w:pPr>
              <w:jc w:val="left"/>
              <w:spacing w:after="0" w:line="240" w:lineRule="auto"/>
              <w:rPr>
                <w:sz w:val="24"/>
                <w:szCs w:val="24"/>
              </w:rPr>
            </w:pPr>
            <w:r>
              <w:rPr>
                <w:rFonts w:ascii="Times New Roman" w:hAnsi="Times New Roman" w:cs="Times New Roman"/>
                <w:color w:val="#000000"/>
                <w:sz w:val="24"/>
                <w:szCs w:val="24"/>
              </w:rPr>
              <w:t>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риска в экономической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Риск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2. Риск, неопределенность и вероятность</w:t>
            </w:r>
          </w:p>
          <w:p>
            <w:pPr>
              <w:jc w:val="both"/>
              <w:spacing w:after="0" w:line="240" w:lineRule="auto"/>
              <w:rPr>
                <w:sz w:val="24"/>
                <w:szCs w:val="24"/>
              </w:rPr>
            </w:pPr>
            <w:r>
              <w:rPr>
                <w:rFonts w:ascii="Times New Roman" w:hAnsi="Times New Roman" w:cs="Times New Roman"/>
                <w:color w:val="#000000"/>
                <w:sz w:val="24"/>
                <w:szCs w:val="24"/>
              </w:rPr>
              <w:t> 3. Величина риска и прибыль</w:t>
            </w:r>
          </w:p>
          <w:p>
            <w:pPr>
              <w:jc w:val="both"/>
              <w:spacing w:after="0" w:line="240" w:lineRule="auto"/>
              <w:rPr>
                <w:sz w:val="24"/>
                <w:szCs w:val="24"/>
              </w:rPr>
            </w:pPr>
            <w:r>
              <w:rPr>
                <w:rFonts w:ascii="Times New Roman" w:hAnsi="Times New Roman" w:cs="Times New Roman"/>
                <w:color w:val="#000000"/>
                <w:sz w:val="24"/>
                <w:szCs w:val="24"/>
              </w:rPr>
              <w:t> 4. Определение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факторов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подходы к классификации рисков</w:t>
            </w:r>
          </w:p>
          <w:p>
            <w:pPr>
              <w:jc w:val="both"/>
              <w:spacing w:after="0" w:line="240" w:lineRule="auto"/>
              <w:rPr>
                <w:sz w:val="24"/>
                <w:szCs w:val="24"/>
              </w:rPr>
            </w:pPr>
            <w:r>
              <w:rPr>
                <w:rFonts w:ascii="Times New Roman" w:hAnsi="Times New Roman" w:cs="Times New Roman"/>
                <w:color w:val="#000000"/>
                <w:sz w:val="24"/>
                <w:szCs w:val="24"/>
              </w:rPr>
              <w:t> 2. Классификация рисков по видам потерь</w:t>
            </w:r>
          </w:p>
          <w:p>
            <w:pPr>
              <w:jc w:val="both"/>
              <w:spacing w:after="0" w:line="240" w:lineRule="auto"/>
              <w:rPr>
                <w:sz w:val="24"/>
                <w:szCs w:val="24"/>
              </w:rPr>
            </w:pPr>
            <w:r>
              <w:rPr>
                <w:rFonts w:ascii="Times New Roman" w:hAnsi="Times New Roman" w:cs="Times New Roman"/>
                <w:color w:val="#000000"/>
                <w:sz w:val="24"/>
                <w:szCs w:val="24"/>
              </w:rPr>
              <w:t> .3. Классификация факторов риска промышленных</w:t>
            </w:r>
          </w:p>
          <w:p>
            <w:pPr>
              <w:jc w:val="both"/>
              <w:spacing w:after="0" w:line="240" w:lineRule="auto"/>
              <w:rPr>
                <w:sz w:val="24"/>
                <w:szCs w:val="24"/>
              </w:rPr>
            </w:pPr>
            <w:r>
              <w:rPr>
                <w:rFonts w:ascii="Times New Roman" w:hAnsi="Times New Roman" w:cs="Times New Roman"/>
                <w:color w:val="#000000"/>
                <w:sz w:val="24"/>
                <w:szCs w:val="24"/>
              </w:rPr>
              <w:t>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Программа управления рисками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подходы к формированию программы</w:t>
            </w:r>
          </w:p>
          <w:p>
            <w:pPr>
              <w:jc w:val="both"/>
              <w:spacing w:after="0" w:line="240" w:lineRule="auto"/>
              <w:rPr>
                <w:sz w:val="24"/>
                <w:szCs w:val="24"/>
              </w:rPr>
            </w:pPr>
            <w:r>
              <w:rPr>
                <w:rFonts w:ascii="Times New Roman" w:hAnsi="Times New Roman" w:cs="Times New Roman"/>
                <w:color w:val="#000000"/>
                <w:sz w:val="24"/>
                <w:szCs w:val="24"/>
              </w:rPr>
              <w:t> управления рисками на предприятии</w:t>
            </w:r>
          </w:p>
          <w:p>
            <w:pPr>
              <w:jc w:val="both"/>
              <w:spacing w:after="0" w:line="240" w:lineRule="auto"/>
              <w:rPr>
                <w:sz w:val="24"/>
                <w:szCs w:val="24"/>
              </w:rPr>
            </w:pPr>
            <w:r>
              <w:rPr>
                <w:rFonts w:ascii="Times New Roman" w:hAnsi="Times New Roman" w:cs="Times New Roman"/>
                <w:color w:val="#000000"/>
                <w:sz w:val="24"/>
                <w:szCs w:val="24"/>
              </w:rPr>
              <w:t> 2. Этапы разработки программы управления рисками</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текущего управления рисками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рисками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приемлемого риска</w:t>
            </w:r>
          </w:p>
          <w:p>
            <w:pPr>
              <w:jc w:val="both"/>
              <w:spacing w:after="0" w:line="240" w:lineRule="auto"/>
              <w:rPr>
                <w:sz w:val="24"/>
                <w:szCs w:val="24"/>
              </w:rPr>
            </w:pPr>
            <w:r>
              <w:rPr>
                <w:rFonts w:ascii="Times New Roman" w:hAnsi="Times New Roman" w:cs="Times New Roman"/>
                <w:color w:val="#000000"/>
                <w:sz w:val="24"/>
                <w:szCs w:val="24"/>
              </w:rPr>
              <w:t> 2. Понятие управления рисками</w:t>
            </w:r>
          </w:p>
          <w:p>
            <w:pPr>
              <w:jc w:val="both"/>
              <w:spacing w:after="0" w:line="240" w:lineRule="auto"/>
              <w:rPr>
                <w:sz w:val="24"/>
                <w:szCs w:val="24"/>
              </w:rPr>
            </w:pPr>
            <w:r>
              <w:rPr>
                <w:rFonts w:ascii="Times New Roman" w:hAnsi="Times New Roman" w:cs="Times New Roman"/>
                <w:color w:val="#000000"/>
                <w:sz w:val="24"/>
                <w:szCs w:val="24"/>
              </w:rPr>
              <w:t> 3. Система управления рисками на предприятии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1.Риск как экономическая категория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2:Классификация факторов риска промышленных</w:t>
            </w:r>
          </w:p>
          <w:p>
            <w:pPr>
              <w:jc w:val="center"/>
              <w:spacing w:after="0" w:line="240" w:lineRule="auto"/>
              <w:rPr>
                <w:sz w:val="24"/>
                <w:szCs w:val="24"/>
              </w:rPr>
            </w:pPr>
            <w:r>
              <w:rPr>
                <w:rFonts w:ascii="Times New Roman" w:hAnsi="Times New Roman" w:cs="Times New Roman"/>
                <w:b/>
                <w:color w:val="#000000"/>
                <w:sz w:val="24"/>
                <w:szCs w:val="24"/>
              </w:rPr>
              <w:t>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3:Этапы разработки программы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стол:Оценка эффективности текущего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4:Система управления рисками на предприятии</w:t>
            </w:r>
          </w:p>
        </w:tc>
      </w:tr>
      <w:tr>
        <w:trPr>
          <w:trHeight w:hRule="exact" w:val="21.31428"/>
        </w:trPr>
        <w:tc>
          <w:tcPr>
            <w:tcW w:w="9640" w:type="dxa"/>
          </w:tcPr>
          <w:p/>
        </w:tc>
      </w:tr>
      <w:tr>
        <w:trPr>
          <w:trHeight w:hRule="exact" w:val="27.34178"/>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50.488"/>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5:Классификация факторов риска промышленных</w:t>
            </w:r>
          </w:p>
          <w:p>
            <w:pPr>
              <w:jc w:val="center"/>
              <w:spacing w:after="0" w:line="240" w:lineRule="auto"/>
              <w:rPr>
                <w:sz w:val="24"/>
                <w:szCs w:val="24"/>
              </w:rPr>
            </w:pPr>
            <w:r>
              <w:rPr>
                <w:rFonts w:ascii="Times New Roman" w:hAnsi="Times New Roman" w:cs="Times New Roman"/>
                <w:b/>
                <w:color w:val="#000000"/>
                <w:sz w:val="24"/>
                <w:szCs w:val="24"/>
              </w:rPr>
              <w:t>  предприятий</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«Стратегическая система управления рисками»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http://www.iprbookshop.ru/95769.html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Свистунов,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Аунапу</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http://www.iprbookshop.ru/79765.html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http://www.iprbookshop.ru/98124.html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8.1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2024-2025_ФГОС3++2024_Маг-ОФО-Э(КУРиС)(24)_plx_Стратегическая система управления рисками</dc:title>
  <dc:creator>FastReport.NET</dc:creator>
</cp:coreProperties>
</file>